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8C7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1F930E7" w14:textId="605F1218" w:rsidR="008E0897" w:rsidRPr="0048118B" w:rsidRDefault="0048118B" w:rsidP="0048118B">
      <w:pPr>
        <w:pStyle w:val="a6"/>
        <w:jc w:val="both"/>
        <w:rPr>
          <w:b/>
          <w:bCs/>
          <w:sz w:val="28"/>
          <w:szCs w:val="28"/>
        </w:rPr>
      </w:pPr>
      <w:r w:rsidRPr="0048118B">
        <w:rPr>
          <w:b/>
          <w:sz w:val="28"/>
          <w:szCs w:val="28"/>
        </w:rPr>
        <w:t>Административная п</w:t>
      </w:r>
      <w:r w:rsidR="005C4A0D" w:rsidRPr="0048118B">
        <w:rPr>
          <w:b/>
          <w:sz w:val="28"/>
          <w:szCs w:val="28"/>
        </w:rPr>
        <w:t xml:space="preserve">роцедура </w:t>
      </w:r>
      <w:r w:rsidR="00EE09B7" w:rsidRPr="0048118B">
        <w:rPr>
          <w:b/>
          <w:sz w:val="28"/>
          <w:szCs w:val="28"/>
        </w:rPr>
        <w:t>16.13.</w:t>
      </w:r>
      <w:r w:rsidR="001110D5" w:rsidRPr="0048118B">
        <w:rPr>
          <w:b/>
          <w:sz w:val="28"/>
          <w:szCs w:val="28"/>
        </w:rPr>
        <w:t>1</w:t>
      </w:r>
      <w:r w:rsidR="00EE09B7" w:rsidRPr="0048118B">
        <w:rPr>
          <w:bCs/>
          <w:sz w:val="28"/>
          <w:szCs w:val="28"/>
        </w:rPr>
        <w:t xml:space="preserve">  </w:t>
      </w:r>
      <w:r w:rsidRPr="0048118B">
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6563"/>
      </w:tblGrid>
      <w:tr w:rsidR="008E0897" w:rsidRPr="00130368" w14:paraId="0340E888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7FD60187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5005A2BC" w14:textId="77777777" w:rsidR="008E0897" w:rsidRPr="001110D5" w:rsidRDefault="001110D5" w:rsidP="001110D5">
            <w:pPr>
              <w:spacing w:line="280" w:lineRule="exact"/>
              <w:jc w:val="both"/>
              <w:rPr>
                <w:bCs/>
              </w:rPr>
            </w:pPr>
            <w:r w:rsidRPr="0048118B">
              <w:rPr>
                <w:bCs/>
                <w:sz w:val="22"/>
                <w:szCs w:val="22"/>
              </w:rPr>
      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      </w:r>
          </w:p>
        </w:tc>
      </w:tr>
      <w:tr w:rsidR="008E0897" w:rsidRPr="00130368" w14:paraId="6313B556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6C2561E6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7129B31C" w14:textId="3D239D4B" w:rsidR="009A1036" w:rsidRPr="009A1036" w:rsidRDefault="009A1036" w:rsidP="009A103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t xml:space="preserve">заявление </w:t>
            </w:r>
          </w:p>
          <w:p w14:paraId="67C921FF" w14:textId="77777777" w:rsidR="009A1036" w:rsidRDefault="00EE09B7" w:rsidP="009A103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EE09B7">
              <w:t>технический паспорт жилого дома</w:t>
            </w:r>
          </w:p>
          <w:p w14:paraId="2A2A11F9" w14:textId="77777777" w:rsidR="00EE09B7" w:rsidRDefault="00673C7D" w:rsidP="00673C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right="141"/>
              <w:jc w:val="both"/>
            </w:pPr>
            <w:r>
              <w:t>акт общего планового технического осмотра здания</w:t>
            </w:r>
          </w:p>
          <w:p w14:paraId="2B004B3C" w14:textId="77777777" w:rsidR="00673C7D" w:rsidRDefault="00673C7D" w:rsidP="00673C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113" w:right="141" w:firstLine="247"/>
              <w:jc w:val="both"/>
            </w:pPr>
            <w:r w:rsidRPr="00673C7D">
              <w:t>выписка со специального счета, счета</w:t>
            </w:r>
            <w:r>
              <w:t xml:space="preserve"> </w:t>
            </w:r>
            <w:r w:rsidRPr="00673C7D">
              <w:t>по учету вклада (депозита) о размере</w:t>
            </w:r>
            <w:r>
              <w:t xml:space="preserve"> </w:t>
            </w:r>
            <w:r w:rsidRPr="00673C7D">
              <w:t>средств на капитальный ремонт на дату</w:t>
            </w:r>
            <w:r>
              <w:t xml:space="preserve"> </w:t>
            </w:r>
            <w:r w:rsidRPr="00673C7D">
              <w:t>подачи заявления</w:t>
            </w:r>
          </w:p>
          <w:p w14:paraId="4553051A" w14:textId="77777777" w:rsidR="00673C7D" w:rsidRDefault="00673C7D" w:rsidP="00673C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113" w:right="141" w:firstLine="247"/>
              <w:jc w:val="both"/>
            </w:pPr>
            <w:r w:rsidRPr="00673C7D">
              <w:t>перечень видов работ, предполагаемых</w:t>
            </w:r>
            <w:r>
              <w:t xml:space="preserve"> </w:t>
            </w:r>
            <w:r w:rsidRPr="00673C7D">
              <w:t>при капитальном ремонте жилого дома,</w:t>
            </w:r>
            <w:r>
              <w:t xml:space="preserve"> </w:t>
            </w:r>
            <w:r w:rsidRPr="00673C7D">
              <w:t>его конструктивных элементов,</w:t>
            </w:r>
            <w:r>
              <w:t xml:space="preserve"> </w:t>
            </w:r>
            <w:r w:rsidRPr="00673C7D">
              <w:t>инженерных систем</w:t>
            </w:r>
          </w:p>
          <w:p w14:paraId="1CF79B27" w14:textId="77777777" w:rsidR="00673C7D" w:rsidRDefault="00673C7D" w:rsidP="00673C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113" w:right="141" w:firstLine="247"/>
              <w:jc w:val="both"/>
            </w:pPr>
            <w:r w:rsidRPr="00673C7D">
              <w:t>задание на разработку проектной</w:t>
            </w:r>
            <w:r>
              <w:t xml:space="preserve"> </w:t>
            </w:r>
            <w:r w:rsidRPr="00673C7D">
              <w:t>документации</w:t>
            </w:r>
          </w:p>
          <w:bookmarkStart w:id="0" w:name="_Hlk191453960"/>
          <w:p w14:paraId="4F571FDE" w14:textId="77777777" w:rsidR="005C4A0D" w:rsidRDefault="0048118B" w:rsidP="00EE09B7">
            <w:pPr>
              <w:pStyle w:val="a6"/>
              <w:ind w:left="113" w:right="140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fldChar w:fldCharType="begin"/>
            </w:r>
            <w:r>
              <w:rPr>
                <w:bdr w:val="none" w:sz="0" w:space="0" w:color="auto" w:frame="1"/>
              </w:rPr>
              <w:instrText>HYPERLINK "https://pravo.by/document/?guid=3871&amp;p0=W22238222"</w:instrText>
            </w:r>
            <w:r>
              <w:rPr>
                <w:bdr w:val="none" w:sz="0" w:space="0" w:color="auto" w:frame="1"/>
              </w:rPr>
            </w:r>
            <w:r>
              <w:rPr>
                <w:bdr w:val="none" w:sz="0" w:space="0" w:color="auto" w:frame="1"/>
              </w:rPr>
              <w:fldChar w:fldCharType="separate"/>
            </w:r>
            <w:r w:rsidR="009A1036" w:rsidRPr="0048118B">
              <w:rPr>
                <w:rStyle w:val="a5"/>
                <w:bdr w:val="none" w:sz="0" w:space="0" w:color="auto" w:frame="1"/>
              </w:rPr>
              <w:t>Постан</w:t>
            </w:r>
            <w:r w:rsidR="009A1036" w:rsidRPr="0048118B">
              <w:rPr>
                <w:rStyle w:val="a5"/>
                <w:bdr w:val="none" w:sz="0" w:space="0" w:color="auto" w:frame="1"/>
              </w:rPr>
              <w:t>о</w:t>
            </w:r>
            <w:r w:rsidR="009A1036" w:rsidRPr="0048118B">
              <w:rPr>
                <w:rStyle w:val="a5"/>
                <w:bdr w:val="none" w:sz="0" w:space="0" w:color="auto" w:frame="1"/>
              </w:rPr>
              <w:t>вление Министерства</w:t>
            </w:r>
            <w:r w:rsidR="00EE09B7" w:rsidRPr="0048118B">
              <w:rPr>
                <w:rStyle w:val="a5"/>
                <w:bdr w:val="none" w:sz="0" w:space="0" w:color="auto" w:frame="1"/>
              </w:rPr>
              <w:t xml:space="preserve"> жилищно-коммунального хозяйства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Республики Беларусь от 2</w:t>
            </w:r>
            <w:r w:rsidRPr="0048118B">
              <w:rPr>
                <w:rStyle w:val="a5"/>
                <w:bdr w:val="none" w:sz="0" w:space="0" w:color="auto" w:frame="1"/>
              </w:rPr>
              <w:t>3</w:t>
            </w:r>
            <w:r w:rsidR="00EE09B7" w:rsidRPr="0048118B">
              <w:rPr>
                <w:rStyle w:val="a5"/>
                <w:bdr w:val="none" w:sz="0" w:space="0" w:color="auto" w:frame="1"/>
              </w:rPr>
              <w:t xml:space="preserve"> </w:t>
            </w:r>
            <w:r w:rsidRPr="0048118B">
              <w:rPr>
                <w:rStyle w:val="a5"/>
                <w:bdr w:val="none" w:sz="0" w:space="0" w:color="auto" w:frame="1"/>
              </w:rPr>
              <w:t>марта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202</w:t>
            </w:r>
            <w:r w:rsidRPr="0048118B">
              <w:rPr>
                <w:rStyle w:val="a5"/>
                <w:bdr w:val="none" w:sz="0" w:space="0" w:color="auto" w:frame="1"/>
              </w:rPr>
              <w:t>2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г. </w:t>
            </w:r>
            <w:r w:rsidRPr="0048118B">
              <w:rPr>
                <w:rStyle w:val="a5"/>
                <w:bdr w:val="none" w:sz="0" w:space="0" w:color="auto" w:frame="1"/>
              </w:rPr>
              <w:t>5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"Об утвержден</w:t>
            </w:r>
            <w:r w:rsidR="009A1036" w:rsidRPr="0048118B">
              <w:rPr>
                <w:rStyle w:val="a5"/>
                <w:bdr w:val="none" w:sz="0" w:space="0" w:color="auto" w:frame="1"/>
              </w:rPr>
              <w:t>и</w:t>
            </w:r>
            <w:r w:rsidR="009A1036" w:rsidRPr="0048118B">
              <w:rPr>
                <w:rStyle w:val="a5"/>
                <w:bdr w:val="none" w:sz="0" w:space="0" w:color="auto" w:frame="1"/>
              </w:rPr>
              <w:t>и регламент</w:t>
            </w:r>
            <w:r w:rsidRPr="0048118B">
              <w:rPr>
                <w:rStyle w:val="a5"/>
                <w:bdr w:val="none" w:sz="0" w:space="0" w:color="auto" w:frame="1"/>
              </w:rPr>
              <w:t>ов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административн</w:t>
            </w:r>
            <w:r w:rsidRPr="0048118B">
              <w:rPr>
                <w:rStyle w:val="a5"/>
                <w:bdr w:val="none" w:sz="0" w:space="0" w:color="auto" w:frame="1"/>
              </w:rPr>
              <w:t>ых</w:t>
            </w:r>
            <w:r w:rsidR="009A1036" w:rsidRPr="0048118B">
              <w:rPr>
                <w:rStyle w:val="a5"/>
                <w:bdr w:val="none" w:sz="0" w:space="0" w:color="auto" w:frame="1"/>
              </w:rPr>
              <w:t xml:space="preserve"> процедур"</w:t>
            </w:r>
            <w:bookmarkEnd w:id="0"/>
            <w:r>
              <w:rPr>
                <w:bdr w:val="none" w:sz="0" w:space="0" w:color="auto" w:frame="1"/>
              </w:rPr>
              <w:fldChar w:fldCharType="end"/>
            </w:r>
          </w:p>
          <w:p w14:paraId="6207DF70" w14:textId="5FAC838E" w:rsidR="0048118B" w:rsidRPr="00EE09B7" w:rsidRDefault="0048118B" w:rsidP="00EE09B7">
            <w:pPr>
              <w:pStyle w:val="a6"/>
              <w:ind w:left="113" w:right="140"/>
              <w:jc w:val="both"/>
              <w:rPr>
                <w:color w:val="0000FF"/>
                <w:u w:val="single"/>
                <w:bdr w:val="none" w:sz="0" w:space="0" w:color="auto" w:frame="1"/>
              </w:rPr>
            </w:pPr>
          </w:p>
        </w:tc>
      </w:tr>
      <w:tr w:rsidR="008E0897" w:rsidRPr="00130368" w14:paraId="4B0FD133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0620826E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451" w:type="pct"/>
            <w:vAlign w:val="center"/>
            <w:hideMark/>
          </w:tcPr>
          <w:p w14:paraId="283875CD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190C0A06" w14:textId="78060393"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8118B">
              <w:rPr>
                <w:rStyle w:val="apple-style-span"/>
                <w:b/>
                <w:bCs/>
              </w:rPr>
              <w:t>Лешик</w:t>
            </w:r>
            <w:proofErr w:type="spellEnd"/>
            <w:r w:rsidR="0048118B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7DE945C4" w14:textId="77777777" w:rsidR="008E0897" w:rsidRDefault="008E0897" w:rsidP="00551B5F">
            <w:pPr>
              <w:ind w:left="111" w:right="141"/>
              <w:jc w:val="both"/>
            </w:pPr>
          </w:p>
          <w:p w14:paraId="79267C3E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54794318" w14:textId="7DA8B67B"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48118B">
              <w:t xml:space="preserve"> </w:t>
            </w:r>
            <w:r w:rsidR="0048118B">
              <w:lastRenderedPageBreak/>
              <w:t>(по предварительной записи)</w:t>
            </w:r>
            <w:r w:rsidRPr="00130368">
              <w:t>.</w:t>
            </w:r>
          </w:p>
        </w:tc>
      </w:tr>
      <w:tr w:rsidR="008E0897" w:rsidRPr="00130368" w14:paraId="19EF3ADA" w14:textId="77777777" w:rsidTr="0048118B">
        <w:trPr>
          <w:trHeight w:val="3569"/>
          <w:tblCellSpacing w:w="15" w:type="dxa"/>
        </w:trPr>
        <w:tc>
          <w:tcPr>
            <w:tcW w:w="1501" w:type="pct"/>
            <w:vAlign w:val="center"/>
            <w:hideMark/>
          </w:tcPr>
          <w:p w14:paraId="38D9776E" w14:textId="77777777" w:rsidR="008E0897" w:rsidRPr="00130368" w:rsidRDefault="008E0897" w:rsidP="00551B5F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09C79201" w14:textId="77777777"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83203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14:paraId="4838D813" w14:textId="77777777"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14:paraId="47C63515" w14:textId="77777777"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14:paraId="0DC3BEBD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09B176F8" w14:textId="77777777"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782DBD4A" w14:textId="77777777"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14:paraId="161BF246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29792012" w14:textId="77777777"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26D009FD" w14:textId="77777777" w:rsidR="008E0897" w:rsidRPr="00832031" w:rsidRDefault="00521886" w:rsidP="00832031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  <w:r w:rsidRPr="00832031">
              <w:rPr>
                <w:sz w:val="24"/>
                <w:szCs w:val="24"/>
              </w:rPr>
              <w:t xml:space="preserve">15 </w:t>
            </w:r>
            <w:r w:rsidR="00CF54B2">
              <w:rPr>
                <w:sz w:val="24"/>
                <w:szCs w:val="24"/>
              </w:rPr>
              <w:t xml:space="preserve">рабочих </w:t>
            </w:r>
            <w:r w:rsidRPr="00832031">
              <w:rPr>
                <w:sz w:val="24"/>
                <w:szCs w:val="24"/>
              </w:rPr>
              <w:t>дней</w:t>
            </w:r>
          </w:p>
        </w:tc>
      </w:tr>
      <w:tr w:rsidR="008E0897" w:rsidRPr="00130368" w14:paraId="04616A86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492A2638" w14:textId="77777777"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451" w:type="pct"/>
            <w:vAlign w:val="center"/>
            <w:hideMark/>
          </w:tcPr>
          <w:p w14:paraId="7109146C" w14:textId="77777777" w:rsidR="008E0897" w:rsidRPr="00130368" w:rsidRDefault="008E0897" w:rsidP="00551B5F">
            <w:pPr>
              <w:ind w:left="111"/>
            </w:pPr>
            <w:r w:rsidRPr="00130368">
              <w:t>бессрочно</w:t>
            </w:r>
          </w:p>
        </w:tc>
      </w:tr>
      <w:tr w:rsidR="008E0897" w:rsidRPr="00130368" w14:paraId="6B1AB4A8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284050C0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51" w:type="pct"/>
            <w:vAlign w:val="center"/>
            <w:hideMark/>
          </w:tcPr>
          <w:p w14:paraId="4666A6D3" w14:textId="77777777"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14:paraId="0C47B39E" w14:textId="77777777" w:rsidTr="0048118B">
        <w:trPr>
          <w:tblCellSpacing w:w="15" w:type="dxa"/>
        </w:trPr>
        <w:tc>
          <w:tcPr>
            <w:tcW w:w="1501" w:type="pct"/>
            <w:vAlign w:val="center"/>
            <w:hideMark/>
          </w:tcPr>
          <w:p w14:paraId="7A918039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451" w:type="pct"/>
            <w:vAlign w:val="center"/>
            <w:hideMark/>
          </w:tcPr>
          <w:p w14:paraId="3AF0F9D4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9ACFBE1" w14:textId="77777777" w:rsidR="008E0897" w:rsidRPr="00130368" w:rsidRDefault="008E0897" w:rsidP="00551B5F">
            <w:pPr>
              <w:ind w:left="111"/>
            </w:pPr>
          </w:p>
        </w:tc>
      </w:tr>
    </w:tbl>
    <w:p w14:paraId="35C275D0" w14:textId="77777777" w:rsidR="008E0897" w:rsidRDefault="008E0897" w:rsidP="008E0897"/>
    <w:p w14:paraId="002E75FF" w14:textId="77777777" w:rsidR="008E0897" w:rsidRDefault="008E0897" w:rsidP="008E0897"/>
    <w:p w14:paraId="11716B6A" w14:textId="77777777" w:rsidR="00241E52" w:rsidRDefault="00241E52" w:rsidP="008E0897"/>
    <w:p w14:paraId="473288B1" w14:textId="77777777" w:rsidR="00241E52" w:rsidRDefault="00241E52" w:rsidP="008E0897"/>
    <w:p w14:paraId="78B2C592" w14:textId="77777777" w:rsidR="00241E52" w:rsidRDefault="00241E52" w:rsidP="008E0897"/>
    <w:p w14:paraId="6574CB5E" w14:textId="77777777" w:rsidR="0048118B" w:rsidRDefault="0048118B" w:rsidP="008E0897"/>
    <w:p w14:paraId="4EB3E74B" w14:textId="77777777" w:rsidR="0048118B" w:rsidRDefault="0048118B" w:rsidP="008E0897"/>
    <w:p w14:paraId="7B39C0D8" w14:textId="77777777" w:rsidR="0048118B" w:rsidRDefault="0048118B" w:rsidP="008E0897"/>
    <w:p w14:paraId="577737C8" w14:textId="77777777" w:rsidR="0048118B" w:rsidRDefault="0048118B" w:rsidP="008E0897"/>
    <w:p w14:paraId="7D526B32" w14:textId="77777777" w:rsidR="009A1036" w:rsidRDefault="009A1036" w:rsidP="00930FD3">
      <w:pPr>
        <w:jc w:val="center"/>
        <w:rPr>
          <w:b/>
          <w:bCs/>
          <w:iCs/>
          <w:sz w:val="28"/>
          <w:szCs w:val="28"/>
        </w:rPr>
      </w:pPr>
    </w:p>
    <w:p w14:paraId="5DE7526D" w14:textId="77777777"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73C7D">
        <w:rPr>
          <w:b/>
          <w:bCs/>
          <w:iCs/>
          <w:sz w:val="28"/>
          <w:szCs w:val="28"/>
        </w:rPr>
        <w:t>16.13</w:t>
      </w:r>
      <w:r w:rsidR="001110D5">
        <w:rPr>
          <w:b/>
          <w:bCs/>
          <w:iCs/>
          <w:sz w:val="28"/>
          <w:szCs w:val="28"/>
        </w:rPr>
        <w:t>.1</w:t>
      </w:r>
    </w:p>
    <w:p w14:paraId="0E5203C8" w14:textId="77777777"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p w14:paraId="7B67BD82" w14:textId="77777777" w:rsidR="00130989" w:rsidRDefault="00130989" w:rsidP="0073194C">
      <w:pPr>
        <w:ind w:left="3960"/>
        <w:jc w:val="both"/>
        <w:rPr>
          <w:sz w:val="28"/>
          <w:szCs w:val="28"/>
        </w:rPr>
      </w:pPr>
    </w:p>
    <w:p w14:paraId="55DE2AB9" w14:textId="77777777" w:rsidR="006802F5" w:rsidRDefault="00930FD3" w:rsidP="006C7F4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Барановичский</w:t>
      </w:r>
      <w:r w:rsidR="00C814A9">
        <w:rPr>
          <w:sz w:val="28"/>
          <w:szCs w:val="28"/>
        </w:rPr>
        <w:t xml:space="preserve"> районный исполнительный комитет</w:t>
      </w:r>
    </w:p>
    <w:p w14:paraId="4719D6D8" w14:textId="77777777" w:rsidR="00241E52" w:rsidRDefault="00241E52" w:rsidP="006C7F4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4553FBED" w14:textId="77777777" w:rsidR="00241E52" w:rsidRDefault="00241E52" w:rsidP="00241E52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41F49CAC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02B49B3" w14:textId="77777777" w:rsidR="00241E52" w:rsidRDefault="00241E52" w:rsidP="00241E52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77B74259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C7946DE" w14:textId="77777777" w:rsidR="00241E52" w:rsidRDefault="00241E52" w:rsidP="00241E52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63A09A46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34B514A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1B7A3FE7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BF2475A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58A817A5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39FE783" w14:textId="77777777" w:rsidR="00241E52" w:rsidRDefault="00241E52" w:rsidP="00241E52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8816CDF" w14:textId="77777777" w:rsidR="00241E52" w:rsidRDefault="00241E52" w:rsidP="00241E52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483A9083" w14:textId="77777777" w:rsidR="00241E52" w:rsidRDefault="00241E52" w:rsidP="00241E52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14:paraId="09C6C1D7" w14:textId="77777777" w:rsidR="00241E52" w:rsidRDefault="00241E52" w:rsidP="00241E52">
      <w:pPr>
        <w:ind w:firstLine="660"/>
        <w:jc w:val="center"/>
        <w:rPr>
          <w:sz w:val="30"/>
          <w:szCs w:val="30"/>
        </w:rPr>
      </w:pPr>
    </w:p>
    <w:p w14:paraId="29071D30" w14:textId="77777777" w:rsidR="00241E52" w:rsidRDefault="00241E52" w:rsidP="00241E52">
      <w:pPr>
        <w:ind w:firstLine="660"/>
        <w:jc w:val="center"/>
        <w:rPr>
          <w:sz w:val="30"/>
          <w:szCs w:val="30"/>
        </w:rPr>
      </w:pPr>
    </w:p>
    <w:p w14:paraId="10F78A3D" w14:textId="77777777" w:rsidR="00241E52" w:rsidRDefault="00241E52" w:rsidP="00241E52">
      <w:pPr>
        <w:ind w:firstLine="66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37F0ACC" w14:textId="77777777" w:rsidR="00241E52" w:rsidRDefault="00241E52" w:rsidP="00241E52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14:paraId="3BCDF646" w14:textId="77777777" w:rsidR="00241E52" w:rsidRDefault="00241E52" w:rsidP="00241E52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14:paraId="676D9DD0" w14:textId="77777777" w:rsidR="00241E52" w:rsidRDefault="00241E52" w:rsidP="00241E5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</w:t>
      </w:r>
      <w:r w:rsidRPr="008507B0">
        <w:rPr>
          <w:sz w:val="30"/>
          <w:szCs w:val="30"/>
        </w:rPr>
        <w:t>согласовать использование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 выдать разрешительную документацию на</w:t>
      </w:r>
      <w:r>
        <w:rPr>
          <w:sz w:val="30"/>
          <w:szCs w:val="30"/>
        </w:rPr>
        <w:t xml:space="preserve"> </w:t>
      </w:r>
    </w:p>
    <w:p w14:paraId="734C3237" w14:textId="77777777" w:rsidR="00241E52" w:rsidRDefault="00241E52" w:rsidP="00241E5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14:paraId="4D2F5946" w14:textId="77777777" w:rsidR="00241E52" w:rsidRDefault="00241E52" w:rsidP="00241E52">
      <w:pPr>
        <w:jc w:val="both"/>
        <w:rPr>
          <w:sz w:val="30"/>
          <w:szCs w:val="30"/>
        </w:rPr>
      </w:pPr>
    </w:p>
    <w:p w14:paraId="2C809E7C" w14:textId="77777777" w:rsidR="00241E52" w:rsidRPr="009A1036" w:rsidRDefault="00241E52" w:rsidP="00241E52">
      <w:pPr>
        <w:autoSpaceDE w:val="0"/>
        <w:autoSpaceDN w:val="0"/>
        <w:adjustRightInd w:val="0"/>
        <w:ind w:firstLine="708"/>
        <w:jc w:val="both"/>
        <w:rPr>
          <w:sz w:val="30"/>
          <w:szCs w:val="30"/>
          <w:u w:val="single"/>
        </w:rPr>
      </w:pPr>
      <w:r w:rsidRPr="009A1036">
        <w:rPr>
          <w:sz w:val="30"/>
          <w:szCs w:val="30"/>
          <w:u w:val="single"/>
        </w:rPr>
        <w:t>К заявлению прилагаются следующие документы:</w:t>
      </w:r>
    </w:p>
    <w:p w14:paraId="5D4CBC88" w14:textId="77777777" w:rsidR="00241E52" w:rsidRDefault="00241E52" w:rsidP="00241E52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____________________________________________________________________________________</w:t>
      </w:r>
    </w:p>
    <w:p w14:paraId="63E9A42A" w14:textId="77777777" w:rsidR="00E022BB" w:rsidRDefault="00E022BB" w:rsidP="00241E52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____________________________________________________________________________________</w:t>
      </w:r>
    </w:p>
    <w:p w14:paraId="154BDBA4" w14:textId="77777777" w:rsidR="00E022BB" w:rsidRDefault="00E022BB" w:rsidP="00241E52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____________________________________________________________________________________</w:t>
      </w:r>
    </w:p>
    <w:p w14:paraId="1A35EA23" w14:textId="77777777" w:rsidR="00E022BB" w:rsidRDefault="00E022BB" w:rsidP="00241E52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____________________________________________________________________________________</w:t>
      </w:r>
    </w:p>
    <w:p w14:paraId="2164061A" w14:textId="77777777" w:rsidR="00E022BB" w:rsidRDefault="00E022BB" w:rsidP="00241E52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____________________________________________________________________________________</w:t>
      </w:r>
    </w:p>
    <w:p w14:paraId="154ACE91" w14:textId="77777777" w:rsidR="00241E52" w:rsidRDefault="00241E52" w:rsidP="00092030">
      <w:pPr>
        <w:ind w:right="-427"/>
        <w:jc w:val="both"/>
        <w:rPr>
          <w:sz w:val="30"/>
          <w:szCs w:val="30"/>
        </w:rPr>
      </w:pPr>
    </w:p>
    <w:p w14:paraId="6FC3CB08" w14:textId="77777777" w:rsidR="0048118B" w:rsidRPr="008A4295" w:rsidRDefault="0048118B" w:rsidP="0048118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4550E7C5" w14:textId="1243E837" w:rsidR="0048118B" w:rsidRPr="008A4295" w:rsidRDefault="0048118B" w:rsidP="0048118B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2B13441B">
          <v:rect id="Прямоугольник 6" o:spid="_x0000_s1028" style="position:absolute;margin-left:260.95pt;margin-top:4.3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387EB3C8">
          <v:rect id="Прямоугольник 8" o:spid="_x0000_s1026" style="position:absolute;margin-left:127.2pt;margin-top:3.7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1D28923B">
          <v:rect id="Прямоугольник 7" o:spid="_x0000_s1027" style="position:absolute;margin-left:.9pt;margin-top:3.7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42131BD1" w14:textId="77777777" w:rsidR="0048118B" w:rsidRDefault="0048118B" w:rsidP="0048118B">
      <w:pPr>
        <w:ind w:right="142"/>
        <w:jc w:val="both"/>
        <w:rPr>
          <w:sz w:val="30"/>
          <w:szCs w:val="30"/>
        </w:rPr>
      </w:pPr>
    </w:p>
    <w:p w14:paraId="3D5A0BAA" w14:textId="77777777" w:rsidR="0048118B" w:rsidRDefault="0048118B" w:rsidP="0048118B">
      <w:pPr>
        <w:ind w:right="142"/>
        <w:jc w:val="both"/>
        <w:rPr>
          <w:sz w:val="30"/>
          <w:szCs w:val="30"/>
        </w:rPr>
      </w:pPr>
    </w:p>
    <w:p w14:paraId="721F040E" w14:textId="77777777" w:rsidR="0048118B" w:rsidRDefault="0048118B" w:rsidP="0048118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2AEB72D7" w14:textId="77777777" w:rsidR="0048118B" w:rsidRDefault="0048118B" w:rsidP="0048118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5A16F5C" w14:textId="77777777" w:rsidR="0048118B" w:rsidRDefault="0048118B" w:rsidP="0048118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3D39DA50" w14:textId="77777777" w:rsidR="0048118B" w:rsidRDefault="0048118B" w:rsidP="0048118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F790A3F" w14:textId="77777777" w:rsidR="0048118B" w:rsidRDefault="0048118B" w:rsidP="0048118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118B1544" w14:textId="77777777" w:rsidR="0048118B" w:rsidRDefault="0048118B" w:rsidP="00481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11DD801" w14:textId="3147D06A" w:rsidR="00491138" w:rsidRDefault="00491138" w:rsidP="0048118B">
      <w:pPr>
        <w:tabs>
          <w:tab w:val="left" w:pos="7020"/>
        </w:tabs>
        <w:jc w:val="both"/>
      </w:pP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3844">
    <w:abstractNumId w:val="2"/>
  </w:num>
  <w:num w:numId="2" w16cid:durableId="1024401601">
    <w:abstractNumId w:val="0"/>
  </w:num>
  <w:num w:numId="3" w16cid:durableId="63183147">
    <w:abstractNumId w:val="1"/>
  </w:num>
  <w:num w:numId="4" w16cid:durableId="203510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1110D5"/>
    <w:rsid w:val="00130989"/>
    <w:rsid w:val="00135782"/>
    <w:rsid w:val="0017081F"/>
    <w:rsid w:val="00183168"/>
    <w:rsid w:val="00183DE8"/>
    <w:rsid w:val="001D34F2"/>
    <w:rsid w:val="00212F6D"/>
    <w:rsid w:val="00241E52"/>
    <w:rsid w:val="00360744"/>
    <w:rsid w:val="003A77B9"/>
    <w:rsid w:val="003D6F81"/>
    <w:rsid w:val="0042246E"/>
    <w:rsid w:val="00442A65"/>
    <w:rsid w:val="004531E1"/>
    <w:rsid w:val="0048118B"/>
    <w:rsid w:val="00491138"/>
    <w:rsid w:val="00521886"/>
    <w:rsid w:val="005375F3"/>
    <w:rsid w:val="005C13BF"/>
    <w:rsid w:val="005C4A0D"/>
    <w:rsid w:val="00600AB6"/>
    <w:rsid w:val="00673C7D"/>
    <w:rsid w:val="006802F5"/>
    <w:rsid w:val="00692E0D"/>
    <w:rsid w:val="006A21AF"/>
    <w:rsid w:val="006B0847"/>
    <w:rsid w:val="006C7F4C"/>
    <w:rsid w:val="006D0A3A"/>
    <w:rsid w:val="0073194C"/>
    <w:rsid w:val="00776BC7"/>
    <w:rsid w:val="007F0B0E"/>
    <w:rsid w:val="00832031"/>
    <w:rsid w:val="00852C58"/>
    <w:rsid w:val="008C36D6"/>
    <w:rsid w:val="008D77F5"/>
    <w:rsid w:val="008E0897"/>
    <w:rsid w:val="00930FD3"/>
    <w:rsid w:val="00975418"/>
    <w:rsid w:val="0098184A"/>
    <w:rsid w:val="009A1036"/>
    <w:rsid w:val="009D43C1"/>
    <w:rsid w:val="00A1618E"/>
    <w:rsid w:val="00A67741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CF54B2"/>
    <w:rsid w:val="00D07C60"/>
    <w:rsid w:val="00D23BCA"/>
    <w:rsid w:val="00DA78DC"/>
    <w:rsid w:val="00E022BB"/>
    <w:rsid w:val="00E81659"/>
    <w:rsid w:val="00EE09B7"/>
    <w:rsid w:val="00EE77A5"/>
    <w:rsid w:val="00F212C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FDCFFF4"/>
  <w15:docId w15:val="{2545FB78-C459-4BD3-8C5A-D57EE242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table" w:styleId="aa">
    <w:name w:val="Table Grid"/>
    <w:basedOn w:val="a1"/>
    <w:uiPriority w:val="59"/>
    <w:rsid w:val="00EE09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Unresolved Mention"/>
    <w:basedOn w:val="a0"/>
    <w:uiPriority w:val="99"/>
    <w:semiHidden/>
    <w:unhideWhenUsed/>
    <w:rsid w:val="00EE09B7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241E52"/>
  </w:style>
  <w:style w:type="paragraph" w:customStyle="1" w:styleId="newncpi">
    <w:name w:val="newncpi"/>
    <w:basedOn w:val="a"/>
    <w:rsid w:val="00241E52"/>
    <w:pPr>
      <w:ind w:firstLine="567"/>
      <w:jc w:val="both"/>
    </w:pPr>
  </w:style>
  <w:style w:type="paragraph" w:customStyle="1" w:styleId="ConsPlusNormal">
    <w:name w:val="ConsPlusNormal"/>
    <w:rsid w:val="0024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17</cp:revision>
  <cp:lastPrinted>2025-08-07T11:29:00Z</cp:lastPrinted>
  <dcterms:created xsi:type="dcterms:W3CDTF">2022-08-11T14:09:00Z</dcterms:created>
  <dcterms:modified xsi:type="dcterms:W3CDTF">2026-07-16T18:39:00Z</dcterms:modified>
</cp:coreProperties>
</file>